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348B" w14:textId="378506BC"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
    <w:p w14:paraId="3F11AC8F" w14:textId="77777777" w:rsidR="004C3D1D" w:rsidRPr="004C3D1D" w:rsidRDefault="004C3D1D" w:rsidP="004C3D1D">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C3D1D">
        <w:rPr>
          <w:rFonts w:ascii="Lato" w:eastAsia="Times New Roman" w:hAnsi="Lato" w:cs="Times New Roman"/>
          <w:color w:val="CC3300"/>
          <w:kern w:val="36"/>
          <w:sz w:val="36"/>
          <w:szCs w:val="36"/>
          <w:lang w:eastAsia="fr-BE"/>
          <w14:ligatures w14:val="none"/>
        </w:rPr>
        <w:t>L’or sera porté par les incertitudes en 2024, le platine soutenu par les tensions sur l’offre, le palladium victime de désamour</w:t>
      </w:r>
    </w:p>
    <w:p w14:paraId="5458AFEF" w14:textId="77777777" w:rsidR="004C3D1D" w:rsidRDefault="004C3D1D" w:rsidP="004C3D1D">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30FEE3F" w14:textId="0560242E"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b/>
          <w:bCs/>
          <w:color w:val="000000"/>
          <w:kern w:val="0"/>
          <w:sz w:val="23"/>
          <w:szCs w:val="23"/>
          <w:lang w:eastAsia="fr-BE"/>
          <w14:ligatures w14:val="none"/>
        </w:rPr>
        <w:t>Les analystes sondés le mois dernier par l’agence </w:t>
      </w:r>
      <w:r w:rsidRPr="004C3D1D">
        <w:rPr>
          <w:rFonts w:ascii="Lato" w:eastAsia="Times New Roman" w:hAnsi="Lato" w:cs="Times New Roman"/>
          <w:b/>
          <w:bCs/>
          <w:i/>
          <w:iCs/>
          <w:color w:val="000000"/>
          <w:kern w:val="0"/>
          <w:sz w:val="23"/>
          <w:szCs w:val="23"/>
          <w:lang w:eastAsia="fr-BE"/>
          <w14:ligatures w14:val="none"/>
        </w:rPr>
        <w:t>Reuters </w:t>
      </w:r>
      <w:r w:rsidRPr="004C3D1D">
        <w:rPr>
          <w:rFonts w:ascii="Lato" w:eastAsia="Times New Roman" w:hAnsi="Lato" w:cs="Times New Roman"/>
          <w:b/>
          <w:bCs/>
          <w:color w:val="000000"/>
          <w:kern w:val="0"/>
          <w:sz w:val="23"/>
          <w:szCs w:val="23"/>
          <w:lang w:eastAsia="fr-BE"/>
          <w14:ligatures w14:val="none"/>
        </w:rPr>
        <w:t>ont réévalué à la hausse leurs prévisions de cours concernant l’or en 2024, qui sera soutenu par les incertitudes autour de l’économie mondiale et la baisse des taux d’intérêt.</w:t>
      </w:r>
    </w:p>
    <w:p w14:paraId="4533D435"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 </w:t>
      </w:r>
    </w:p>
    <w:p w14:paraId="7060CFB1"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Le métal jaune a atteint la valeur record de 2.135,40 $/once en décembre 2023, bien au-delà du seuil psychologique de 2.000 $, au-dessus duquel il se maintient pour l’instant cette année. Le métal s’est apprécié de 13% en 2023 ; il a ainsi enregistré sa meilleure performance depuis 2020.</w:t>
      </w:r>
    </w:p>
    <w:p w14:paraId="4D0C9C5B"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Les 38 analystes et traders, sondés pour l’occasion, voient l’or atteindre une moyenne de 2.053,50 $/once en 2024 (valeur médiane), avec des prévisions à 2.025 $/once au 1</w:t>
      </w:r>
      <w:r w:rsidRPr="004C3D1D">
        <w:rPr>
          <w:rFonts w:ascii="Lato" w:eastAsia="Times New Roman" w:hAnsi="Lato" w:cs="Times New Roman"/>
          <w:color w:val="000000"/>
          <w:kern w:val="0"/>
          <w:sz w:val="23"/>
          <w:szCs w:val="23"/>
          <w:vertAlign w:val="superscript"/>
          <w:lang w:eastAsia="fr-BE"/>
          <w14:ligatures w14:val="none"/>
        </w:rPr>
        <w:t>er</w:t>
      </w:r>
      <w:r w:rsidRPr="004C3D1D">
        <w:rPr>
          <w:rFonts w:ascii="Lato" w:eastAsia="Times New Roman" w:hAnsi="Lato" w:cs="Times New Roman"/>
          <w:color w:val="000000"/>
          <w:kern w:val="0"/>
          <w:sz w:val="23"/>
          <w:szCs w:val="23"/>
          <w:lang w:eastAsia="fr-BE"/>
          <w14:ligatures w14:val="none"/>
        </w:rPr>
        <w:t> trimestre et 2.050 $/once au 2</w:t>
      </w:r>
      <w:r w:rsidRPr="004C3D1D">
        <w:rPr>
          <w:rFonts w:ascii="Lato" w:eastAsia="Times New Roman" w:hAnsi="Lato" w:cs="Times New Roman"/>
          <w:color w:val="000000"/>
          <w:kern w:val="0"/>
          <w:sz w:val="23"/>
          <w:szCs w:val="23"/>
          <w:vertAlign w:val="superscript"/>
          <w:lang w:eastAsia="fr-BE"/>
          <w14:ligatures w14:val="none"/>
        </w:rPr>
        <w:t>e</w:t>
      </w:r>
      <w:r w:rsidRPr="004C3D1D">
        <w:rPr>
          <w:rFonts w:ascii="Lato" w:eastAsia="Times New Roman" w:hAnsi="Lato" w:cs="Times New Roman"/>
          <w:color w:val="000000"/>
          <w:kern w:val="0"/>
          <w:sz w:val="23"/>
          <w:szCs w:val="23"/>
          <w:lang w:eastAsia="fr-BE"/>
          <w14:ligatures w14:val="none"/>
        </w:rPr>
        <w:t>. Trois mois auparavant, ces mêmes analystes avaient anticipé une moyenne de l’or à 1.986,50 $/once.</w:t>
      </w:r>
    </w:p>
    <w:p w14:paraId="77D72DFD"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 </w:t>
      </w:r>
      <w:r w:rsidRPr="004C3D1D">
        <w:rPr>
          <w:rFonts w:ascii="Lato" w:eastAsia="Times New Roman" w:hAnsi="Lato" w:cs="Times New Roman"/>
          <w:i/>
          <w:iCs/>
          <w:color w:val="000000"/>
          <w:kern w:val="0"/>
          <w:sz w:val="23"/>
          <w:szCs w:val="23"/>
          <w:lang w:eastAsia="fr-BE"/>
          <w14:ligatures w14:val="none"/>
        </w:rPr>
        <w:t>Si le rythme des baisses de taux d’intérêt s’accélère au deuxième trimestre, la probabilité de voir l’or atteindre un nouveau record est forte </w:t>
      </w:r>
      <w:r w:rsidRPr="004C3D1D">
        <w:rPr>
          <w:rFonts w:ascii="Lato" w:eastAsia="Times New Roman" w:hAnsi="Lato" w:cs="Times New Roman"/>
          <w:color w:val="000000"/>
          <w:kern w:val="0"/>
          <w:sz w:val="23"/>
          <w:szCs w:val="23"/>
          <w:lang w:eastAsia="fr-BE"/>
          <w14:ligatures w14:val="none"/>
        </w:rPr>
        <w:t xml:space="preserve">», estime Frank </w:t>
      </w:r>
      <w:proofErr w:type="spellStart"/>
      <w:r w:rsidRPr="004C3D1D">
        <w:rPr>
          <w:rFonts w:ascii="Lato" w:eastAsia="Times New Roman" w:hAnsi="Lato" w:cs="Times New Roman"/>
          <w:color w:val="000000"/>
          <w:kern w:val="0"/>
          <w:sz w:val="23"/>
          <w:szCs w:val="23"/>
          <w:lang w:eastAsia="fr-BE"/>
          <w14:ligatures w14:val="none"/>
        </w:rPr>
        <w:t>Schallenberger</w:t>
      </w:r>
      <w:proofErr w:type="spellEnd"/>
      <w:r w:rsidRPr="004C3D1D">
        <w:rPr>
          <w:rFonts w:ascii="Lato" w:eastAsia="Times New Roman" w:hAnsi="Lato" w:cs="Times New Roman"/>
          <w:color w:val="000000"/>
          <w:kern w:val="0"/>
          <w:sz w:val="23"/>
          <w:szCs w:val="23"/>
          <w:lang w:eastAsia="fr-BE"/>
          <w14:ligatures w14:val="none"/>
        </w:rPr>
        <w:t>, directeur du pôle recherche de LBBW.</w:t>
      </w:r>
    </w:p>
    <w:p w14:paraId="150C486F"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 xml:space="preserve">Les économistes pensent que la Réserve fédérale américaine va attendre le deuxième </w:t>
      </w:r>
      <w:proofErr w:type="gramStart"/>
      <w:r w:rsidRPr="004C3D1D">
        <w:rPr>
          <w:rFonts w:ascii="Lato" w:eastAsia="Times New Roman" w:hAnsi="Lato" w:cs="Times New Roman"/>
          <w:color w:val="000000"/>
          <w:kern w:val="0"/>
          <w:sz w:val="23"/>
          <w:szCs w:val="23"/>
          <w:lang w:eastAsia="fr-BE"/>
          <w14:ligatures w14:val="none"/>
        </w:rPr>
        <w:t>trimestre</w:t>
      </w:r>
      <w:proofErr w:type="gramEnd"/>
      <w:r w:rsidRPr="004C3D1D">
        <w:rPr>
          <w:rFonts w:ascii="Lato" w:eastAsia="Times New Roman" w:hAnsi="Lato" w:cs="Times New Roman"/>
          <w:color w:val="000000"/>
          <w:kern w:val="0"/>
          <w:sz w:val="23"/>
          <w:szCs w:val="23"/>
          <w:lang w:eastAsia="fr-BE"/>
          <w14:ligatures w14:val="none"/>
        </w:rPr>
        <w:t xml:space="preserve"> pour commencer à baisser ses taux. L’or est considéré comme une valeur refuge en période d’incertitudes financière et économique, car il ne rapporte pas d’intérêt, il tend en revanche à perdre son attractivité quand les taux d’intérêt augmentent.</w:t>
      </w:r>
    </w:p>
    <w:p w14:paraId="1343982E"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Le conflit au Moyen-Orient, les élections dans les principales économies mondiales, les achats des banques centrales et la reprise probable des ETF (Exchange-</w:t>
      </w:r>
      <w:proofErr w:type="spellStart"/>
      <w:r w:rsidRPr="004C3D1D">
        <w:rPr>
          <w:rFonts w:ascii="Lato" w:eastAsia="Times New Roman" w:hAnsi="Lato" w:cs="Times New Roman"/>
          <w:color w:val="000000"/>
          <w:kern w:val="0"/>
          <w:sz w:val="23"/>
          <w:szCs w:val="23"/>
          <w:lang w:eastAsia="fr-BE"/>
          <w14:ligatures w14:val="none"/>
        </w:rPr>
        <w:t>traded</w:t>
      </w:r>
      <w:proofErr w:type="spellEnd"/>
      <w:r w:rsidRPr="004C3D1D">
        <w:rPr>
          <w:rFonts w:ascii="Lato" w:eastAsia="Times New Roman" w:hAnsi="Lato" w:cs="Times New Roman"/>
          <w:color w:val="000000"/>
          <w:kern w:val="0"/>
          <w:sz w:val="23"/>
          <w:szCs w:val="23"/>
          <w:lang w:eastAsia="fr-BE"/>
          <w14:ligatures w14:val="none"/>
        </w:rPr>
        <w:t>-</w:t>
      </w:r>
      <w:proofErr w:type="spellStart"/>
      <w:r w:rsidRPr="004C3D1D">
        <w:rPr>
          <w:rFonts w:ascii="Lato" w:eastAsia="Times New Roman" w:hAnsi="Lato" w:cs="Times New Roman"/>
          <w:color w:val="000000"/>
          <w:kern w:val="0"/>
          <w:sz w:val="23"/>
          <w:szCs w:val="23"/>
          <w:lang w:eastAsia="fr-BE"/>
          <w14:ligatures w14:val="none"/>
        </w:rPr>
        <w:t>funds</w:t>
      </w:r>
      <w:proofErr w:type="spellEnd"/>
      <w:r w:rsidRPr="004C3D1D">
        <w:rPr>
          <w:rFonts w:ascii="Lato" w:eastAsia="Times New Roman" w:hAnsi="Lato" w:cs="Times New Roman"/>
          <w:color w:val="000000"/>
          <w:kern w:val="0"/>
          <w:sz w:val="23"/>
          <w:szCs w:val="23"/>
          <w:lang w:eastAsia="fr-BE"/>
          <w14:ligatures w14:val="none"/>
        </w:rPr>
        <w:t>) devraient renforcer l’attractivité du métal jaune cette année. Ross Norman, analyste indépendant, estime que les changements potentiels dans le paysage politique mondial constituent « </w:t>
      </w:r>
      <w:r w:rsidRPr="004C3D1D">
        <w:rPr>
          <w:rFonts w:ascii="Lato" w:eastAsia="Times New Roman" w:hAnsi="Lato" w:cs="Times New Roman"/>
          <w:i/>
          <w:iCs/>
          <w:color w:val="000000"/>
          <w:kern w:val="0"/>
          <w:sz w:val="23"/>
          <w:szCs w:val="23"/>
          <w:lang w:eastAsia="fr-BE"/>
          <w14:ligatures w14:val="none"/>
        </w:rPr>
        <w:t>une incertitude supplémentaire sur laquelle l'or pourrait prospérer </w:t>
      </w:r>
      <w:r w:rsidRPr="004C3D1D">
        <w:rPr>
          <w:rFonts w:ascii="Lato" w:eastAsia="Times New Roman" w:hAnsi="Lato" w:cs="Times New Roman"/>
          <w:color w:val="000000"/>
          <w:kern w:val="0"/>
          <w:sz w:val="23"/>
          <w:szCs w:val="23"/>
          <w:lang w:eastAsia="fr-BE"/>
          <w14:ligatures w14:val="none"/>
        </w:rPr>
        <w:t>».</w:t>
      </w:r>
    </w:p>
    <w:p w14:paraId="2331C5A0"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S’agissant de l’</w:t>
      </w:r>
      <w:r w:rsidRPr="004C3D1D">
        <w:rPr>
          <w:rFonts w:ascii="Lato" w:eastAsia="Times New Roman" w:hAnsi="Lato" w:cs="Times New Roman"/>
          <w:color w:val="000000"/>
          <w:kern w:val="0"/>
          <w:sz w:val="23"/>
          <w:szCs w:val="23"/>
          <w:u w:val="single"/>
          <w:lang w:eastAsia="fr-BE"/>
          <w14:ligatures w14:val="none"/>
        </w:rPr>
        <w:t>argent</w:t>
      </w:r>
      <w:r w:rsidRPr="004C3D1D">
        <w:rPr>
          <w:rFonts w:ascii="Lato" w:eastAsia="Times New Roman" w:hAnsi="Lato" w:cs="Times New Roman"/>
          <w:color w:val="000000"/>
          <w:kern w:val="0"/>
          <w:sz w:val="23"/>
          <w:szCs w:val="23"/>
          <w:lang w:eastAsia="fr-BE"/>
          <w14:ligatures w14:val="none"/>
        </w:rPr>
        <w:t> les analystes anticipent une moyenne de 24.94 $/once en 2024, ceci comparé à l’estimation de 24.85 $/once avancée lors du sondage d’octobre 2023. Le métal gris devrait profiter de la bonne performance de l’or. Mais son orientation sera surtout déterminée par la demande chinoise et l’évolution des bourses mondiales. « </w:t>
      </w:r>
      <w:r w:rsidRPr="004C3D1D">
        <w:rPr>
          <w:rFonts w:ascii="Lato" w:eastAsia="Times New Roman" w:hAnsi="Lato" w:cs="Times New Roman"/>
          <w:i/>
          <w:iCs/>
          <w:color w:val="000000"/>
          <w:kern w:val="0"/>
          <w:sz w:val="23"/>
          <w:szCs w:val="23"/>
          <w:lang w:eastAsia="fr-BE"/>
          <w14:ligatures w14:val="none"/>
        </w:rPr>
        <w:t>Si le ratio offre / demande devrait quelque peu se tendre en 2024, le niveau élevé des stocks limitera sans doute sa progression </w:t>
      </w:r>
      <w:r w:rsidRPr="004C3D1D">
        <w:rPr>
          <w:rFonts w:ascii="Lato" w:eastAsia="Times New Roman" w:hAnsi="Lato" w:cs="Times New Roman"/>
          <w:color w:val="000000"/>
          <w:kern w:val="0"/>
          <w:sz w:val="23"/>
          <w:szCs w:val="23"/>
          <w:lang w:eastAsia="fr-BE"/>
          <w14:ligatures w14:val="none"/>
        </w:rPr>
        <w:t xml:space="preserve">», considère </w:t>
      </w:r>
      <w:proofErr w:type="spellStart"/>
      <w:r w:rsidRPr="004C3D1D">
        <w:rPr>
          <w:rFonts w:ascii="Lato" w:eastAsia="Times New Roman" w:hAnsi="Lato" w:cs="Times New Roman"/>
          <w:color w:val="000000"/>
          <w:kern w:val="0"/>
          <w:sz w:val="23"/>
          <w:szCs w:val="23"/>
          <w:lang w:eastAsia="fr-BE"/>
          <w14:ligatures w14:val="none"/>
        </w:rPr>
        <w:t>Suki</w:t>
      </w:r>
      <w:proofErr w:type="spellEnd"/>
      <w:r w:rsidRPr="004C3D1D">
        <w:rPr>
          <w:rFonts w:ascii="Lato" w:eastAsia="Times New Roman" w:hAnsi="Lato" w:cs="Times New Roman"/>
          <w:color w:val="000000"/>
          <w:kern w:val="0"/>
          <w:sz w:val="23"/>
          <w:szCs w:val="23"/>
          <w:lang w:eastAsia="fr-BE"/>
          <w14:ligatures w14:val="none"/>
        </w:rPr>
        <w:t xml:space="preserve"> Cooper, analyste pour Standard </w:t>
      </w:r>
      <w:proofErr w:type="spellStart"/>
      <w:r w:rsidRPr="004C3D1D">
        <w:rPr>
          <w:rFonts w:ascii="Lato" w:eastAsia="Times New Roman" w:hAnsi="Lato" w:cs="Times New Roman"/>
          <w:color w:val="000000"/>
          <w:kern w:val="0"/>
          <w:sz w:val="23"/>
          <w:szCs w:val="23"/>
          <w:lang w:eastAsia="fr-BE"/>
          <w14:ligatures w14:val="none"/>
        </w:rPr>
        <w:t>Chartered</w:t>
      </w:r>
      <w:proofErr w:type="spellEnd"/>
      <w:r w:rsidRPr="004C3D1D">
        <w:rPr>
          <w:rFonts w:ascii="Lato" w:eastAsia="Times New Roman" w:hAnsi="Lato" w:cs="Times New Roman"/>
          <w:color w:val="000000"/>
          <w:kern w:val="0"/>
          <w:sz w:val="23"/>
          <w:szCs w:val="23"/>
          <w:lang w:eastAsia="fr-BE"/>
          <w14:ligatures w14:val="none"/>
        </w:rPr>
        <w:t>.</w:t>
      </w:r>
    </w:p>
    <w:p w14:paraId="47774558"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 </w:t>
      </w:r>
    </w:p>
    <w:p w14:paraId="45AC1FFA"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b/>
          <w:bCs/>
          <w:color w:val="000000"/>
          <w:kern w:val="0"/>
          <w:sz w:val="23"/>
          <w:szCs w:val="23"/>
          <w:lang w:eastAsia="fr-BE"/>
          <w14:ligatures w14:val="none"/>
        </w:rPr>
        <w:t>Le platine soutenu par les tensions sur l’offre, le palladium victime de désamour</w:t>
      </w:r>
    </w:p>
    <w:p w14:paraId="77539FF2"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Les analystes ont revu à la baisse leurs prévisions concernant les platinoïdes en 2024, au regard de la faiblesse de la demande. Ils devraient néanmoins rebondir par rapport aux niveaux actuels, a montré le sondage </w:t>
      </w:r>
      <w:r w:rsidRPr="004C3D1D">
        <w:rPr>
          <w:rFonts w:ascii="Lato" w:eastAsia="Times New Roman" w:hAnsi="Lato" w:cs="Times New Roman"/>
          <w:i/>
          <w:iCs/>
          <w:color w:val="000000"/>
          <w:kern w:val="0"/>
          <w:sz w:val="23"/>
          <w:szCs w:val="23"/>
          <w:lang w:eastAsia="fr-BE"/>
          <w14:ligatures w14:val="none"/>
        </w:rPr>
        <w:t>Reuters</w:t>
      </w:r>
      <w:r w:rsidRPr="004C3D1D">
        <w:rPr>
          <w:rFonts w:ascii="Lato" w:eastAsia="Times New Roman" w:hAnsi="Lato" w:cs="Times New Roman"/>
          <w:color w:val="000000"/>
          <w:kern w:val="0"/>
          <w:sz w:val="23"/>
          <w:szCs w:val="23"/>
          <w:lang w:eastAsia="fr-BE"/>
          <w14:ligatures w14:val="none"/>
        </w:rPr>
        <w:t>.</w:t>
      </w:r>
    </w:p>
    <w:p w14:paraId="5E2BF6DB"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Le </w:t>
      </w:r>
      <w:r w:rsidRPr="004C3D1D">
        <w:rPr>
          <w:rFonts w:ascii="Lato" w:eastAsia="Times New Roman" w:hAnsi="Lato" w:cs="Times New Roman"/>
          <w:color w:val="000000"/>
          <w:kern w:val="0"/>
          <w:sz w:val="23"/>
          <w:szCs w:val="23"/>
          <w:u w:val="single"/>
          <w:lang w:eastAsia="fr-BE"/>
          <w14:ligatures w14:val="none"/>
        </w:rPr>
        <w:t>platine</w:t>
      </w:r>
      <w:r w:rsidRPr="004C3D1D">
        <w:rPr>
          <w:rFonts w:ascii="Lato" w:eastAsia="Times New Roman" w:hAnsi="Lato" w:cs="Times New Roman"/>
          <w:color w:val="000000"/>
          <w:kern w:val="0"/>
          <w:sz w:val="23"/>
          <w:szCs w:val="23"/>
          <w:lang w:eastAsia="fr-BE"/>
          <w14:ligatures w14:val="none"/>
        </w:rPr>
        <w:t> et le </w:t>
      </w:r>
      <w:r w:rsidRPr="004C3D1D">
        <w:rPr>
          <w:rFonts w:ascii="Lato" w:eastAsia="Times New Roman" w:hAnsi="Lato" w:cs="Times New Roman"/>
          <w:color w:val="000000"/>
          <w:kern w:val="0"/>
          <w:sz w:val="23"/>
          <w:szCs w:val="23"/>
          <w:u w:val="single"/>
          <w:lang w:eastAsia="fr-BE"/>
          <w14:ligatures w14:val="none"/>
        </w:rPr>
        <w:t>palladium</w:t>
      </w:r>
      <w:r w:rsidRPr="004C3D1D">
        <w:rPr>
          <w:rFonts w:ascii="Lato" w:eastAsia="Times New Roman" w:hAnsi="Lato" w:cs="Times New Roman"/>
          <w:color w:val="000000"/>
          <w:kern w:val="0"/>
          <w:sz w:val="23"/>
          <w:szCs w:val="23"/>
          <w:lang w:eastAsia="fr-BE"/>
          <w14:ligatures w14:val="none"/>
        </w:rPr>
        <w:t> sont principalement utilisés dans les pots catalytiques de véhicules thermiques. Le </w:t>
      </w:r>
      <w:r w:rsidRPr="004C3D1D">
        <w:rPr>
          <w:rFonts w:ascii="Lato" w:eastAsia="Times New Roman" w:hAnsi="Lato" w:cs="Times New Roman"/>
          <w:color w:val="000000"/>
          <w:kern w:val="0"/>
          <w:sz w:val="23"/>
          <w:szCs w:val="23"/>
          <w:u w:val="single"/>
          <w:lang w:eastAsia="fr-BE"/>
          <w14:ligatures w14:val="none"/>
        </w:rPr>
        <w:t>platine</w:t>
      </w:r>
      <w:r w:rsidRPr="004C3D1D">
        <w:rPr>
          <w:rFonts w:ascii="Lato" w:eastAsia="Times New Roman" w:hAnsi="Lato" w:cs="Times New Roman"/>
          <w:color w:val="000000"/>
          <w:kern w:val="0"/>
          <w:sz w:val="23"/>
          <w:szCs w:val="23"/>
          <w:lang w:eastAsia="fr-BE"/>
          <w14:ligatures w14:val="none"/>
        </w:rPr>
        <w:t> est également utilisé en joaillerie et en tant qu’investissement. Le métal est attendu à 1.015 $/once en 2024 ; c’est la valeur médiane dégagée des estimations fournies par 29 analystes et traders.</w:t>
      </w:r>
    </w:p>
    <w:p w14:paraId="57AA17C8"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lastRenderedPageBreak/>
        <w:t>Ces mêmes personnes avaient avancé une moyenne de 1.023 $/once en octobre 2023. La dernière estimation est supérieure au cours actuel du métal, qui avoisine les 905 $/once. « </w:t>
      </w:r>
      <w:r w:rsidRPr="004C3D1D">
        <w:rPr>
          <w:rFonts w:ascii="Lato" w:eastAsia="Times New Roman" w:hAnsi="Lato" w:cs="Times New Roman"/>
          <w:i/>
          <w:iCs/>
          <w:color w:val="000000"/>
          <w:kern w:val="0"/>
          <w:sz w:val="23"/>
          <w:szCs w:val="23"/>
          <w:lang w:eastAsia="fr-BE"/>
          <w14:ligatures w14:val="none"/>
        </w:rPr>
        <w:t>L’année s’annonce positive pour le platine, au regard de la projection de déficit de 350.000 tonnes anticipée pour cette année, un volume qui représente 5% de la demande attendue, </w:t>
      </w:r>
      <w:r w:rsidRPr="004C3D1D">
        <w:rPr>
          <w:rFonts w:ascii="Lato" w:eastAsia="Times New Roman" w:hAnsi="Lato" w:cs="Times New Roman"/>
          <w:color w:val="000000"/>
          <w:kern w:val="0"/>
          <w:sz w:val="23"/>
          <w:szCs w:val="23"/>
          <w:lang w:eastAsia="fr-BE"/>
          <w14:ligatures w14:val="none"/>
        </w:rPr>
        <w:t>estime Ross Norman. </w:t>
      </w:r>
      <w:r w:rsidRPr="004C3D1D">
        <w:rPr>
          <w:rFonts w:ascii="Lato" w:eastAsia="Times New Roman" w:hAnsi="Lato" w:cs="Times New Roman"/>
          <w:i/>
          <w:iCs/>
          <w:color w:val="000000"/>
          <w:kern w:val="0"/>
          <w:sz w:val="23"/>
          <w:szCs w:val="23"/>
          <w:lang w:eastAsia="fr-BE"/>
          <w14:ligatures w14:val="none"/>
        </w:rPr>
        <w:t>Les stocks devraient, en outre, reculer à leur plus bas niveau en quatre ans, ce qui signifie que la tendance pour le métal est orientée à la hausse cette année </w:t>
      </w:r>
      <w:r w:rsidRPr="004C3D1D">
        <w:rPr>
          <w:rFonts w:ascii="Lato" w:eastAsia="Times New Roman" w:hAnsi="Lato" w:cs="Times New Roman"/>
          <w:color w:val="000000"/>
          <w:kern w:val="0"/>
          <w:sz w:val="23"/>
          <w:szCs w:val="23"/>
          <w:lang w:eastAsia="fr-BE"/>
          <w14:ligatures w14:val="none"/>
        </w:rPr>
        <w:t>». Il a touché un sommet de six mois à 1.012 $/once fin décembre, pour autant il a terminé l’année sur une contraction de 8%. Il a également décéléré en janvier. « </w:t>
      </w:r>
      <w:r w:rsidRPr="004C3D1D">
        <w:rPr>
          <w:rFonts w:ascii="Lato" w:eastAsia="Times New Roman" w:hAnsi="Lato" w:cs="Times New Roman"/>
          <w:i/>
          <w:iCs/>
          <w:color w:val="000000"/>
          <w:kern w:val="0"/>
          <w:sz w:val="23"/>
          <w:szCs w:val="23"/>
          <w:lang w:eastAsia="fr-BE"/>
          <w14:ligatures w14:val="none"/>
        </w:rPr>
        <w:t>La progression enregistrée fin 2023 semblait prématurée. Il s’est apprécié car sa corrélation avec l’or s’est renforcée. Mais la demande n’a pas suivi et pourrait continuer à rester faible pendant un certain temps encore </w:t>
      </w:r>
      <w:r w:rsidRPr="004C3D1D">
        <w:rPr>
          <w:rFonts w:ascii="Lato" w:eastAsia="Times New Roman" w:hAnsi="Lato" w:cs="Times New Roman"/>
          <w:color w:val="000000"/>
          <w:kern w:val="0"/>
          <w:sz w:val="23"/>
          <w:szCs w:val="23"/>
          <w:lang w:eastAsia="fr-BE"/>
          <w14:ligatures w14:val="none"/>
        </w:rPr>
        <w:t xml:space="preserve">», prévoit Nitesh Shah, stratège pour </w:t>
      </w:r>
      <w:proofErr w:type="spellStart"/>
      <w:r w:rsidRPr="004C3D1D">
        <w:rPr>
          <w:rFonts w:ascii="Lato" w:eastAsia="Times New Roman" w:hAnsi="Lato" w:cs="Times New Roman"/>
          <w:color w:val="000000"/>
          <w:kern w:val="0"/>
          <w:sz w:val="23"/>
          <w:szCs w:val="23"/>
          <w:lang w:eastAsia="fr-BE"/>
          <w14:ligatures w14:val="none"/>
        </w:rPr>
        <w:t>Wisdom</w:t>
      </w:r>
      <w:proofErr w:type="spellEnd"/>
      <w:r w:rsidRPr="004C3D1D">
        <w:rPr>
          <w:rFonts w:ascii="Lato" w:eastAsia="Times New Roman" w:hAnsi="Lato" w:cs="Times New Roman"/>
          <w:color w:val="000000"/>
          <w:kern w:val="0"/>
          <w:sz w:val="23"/>
          <w:szCs w:val="23"/>
          <w:lang w:eastAsia="fr-BE"/>
          <w14:ligatures w14:val="none"/>
        </w:rPr>
        <w:t xml:space="preserve"> </w:t>
      </w:r>
      <w:proofErr w:type="spellStart"/>
      <w:r w:rsidRPr="004C3D1D">
        <w:rPr>
          <w:rFonts w:ascii="Lato" w:eastAsia="Times New Roman" w:hAnsi="Lato" w:cs="Times New Roman"/>
          <w:color w:val="000000"/>
          <w:kern w:val="0"/>
          <w:sz w:val="23"/>
          <w:szCs w:val="23"/>
          <w:lang w:eastAsia="fr-BE"/>
          <w14:ligatures w14:val="none"/>
        </w:rPr>
        <w:t>Tree</w:t>
      </w:r>
      <w:proofErr w:type="spellEnd"/>
      <w:r w:rsidRPr="004C3D1D">
        <w:rPr>
          <w:rFonts w:ascii="Lato" w:eastAsia="Times New Roman" w:hAnsi="Lato" w:cs="Times New Roman"/>
          <w:color w:val="000000"/>
          <w:kern w:val="0"/>
          <w:sz w:val="23"/>
          <w:szCs w:val="23"/>
          <w:lang w:eastAsia="fr-BE"/>
          <w14:ligatures w14:val="none"/>
        </w:rPr>
        <w:t>.</w:t>
      </w:r>
    </w:p>
    <w:p w14:paraId="335F46E6" w14:textId="77777777" w:rsidR="004C3D1D" w:rsidRPr="004C3D1D" w:rsidRDefault="004C3D1D" w:rsidP="004C3D1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C3D1D">
        <w:rPr>
          <w:rFonts w:ascii="Lato" w:eastAsia="Times New Roman" w:hAnsi="Lato" w:cs="Times New Roman"/>
          <w:color w:val="000000"/>
          <w:kern w:val="0"/>
          <w:sz w:val="23"/>
          <w:szCs w:val="23"/>
          <w:lang w:eastAsia="fr-BE"/>
          <w14:ligatures w14:val="none"/>
        </w:rPr>
        <w:t>Quant au </w:t>
      </w:r>
      <w:r w:rsidRPr="004C3D1D">
        <w:rPr>
          <w:rFonts w:ascii="Lato" w:eastAsia="Times New Roman" w:hAnsi="Lato" w:cs="Times New Roman"/>
          <w:color w:val="000000"/>
          <w:kern w:val="0"/>
          <w:sz w:val="23"/>
          <w:szCs w:val="23"/>
          <w:u w:val="single"/>
          <w:lang w:eastAsia="fr-BE"/>
          <w14:ligatures w14:val="none"/>
        </w:rPr>
        <w:t>palladium</w:t>
      </w:r>
      <w:r w:rsidRPr="004C3D1D">
        <w:rPr>
          <w:rFonts w:ascii="Lato" w:eastAsia="Times New Roman" w:hAnsi="Lato" w:cs="Times New Roman"/>
          <w:color w:val="000000"/>
          <w:kern w:val="0"/>
          <w:sz w:val="23"/>
          <w:szCs w:val="23"/>
          <w:lang w:eastAsia="fr-BE"/>
          <w14:ligatures w14:val="none"/>
        </w:rPr>
        <w:t>, les prévisionnistes entrevoient une moyenne de 1.075 $/once en 2024, une valeur inférieure à celle de 1.250 $/once avancée en octobre dernier. Le palladium enregistre une baisse de 14%, à 947 $/once, depuis le début de l’année ; en 2023, il a abandonné 39% de sa valeur, en raison de la désaffection pour les véhicules thermiques et du remplacement du palladium par le platine dans les pots catalytiques. « </w:t>
      </w:r>
      <w:r w:rsidRPr="004C3D1D">
        <w:rPr>
          <w:rFonts w:ascii="Lato" w:eastAsia="Times New Roman" w:hAnsi="Lato" w:cs="Times New Roman"/>
          <w:i/>
          <w:iCs/>
          <w:color w:val="000000"/>
          <w:kern w:val="0"/>
          <w:sz w:val="23"/>
          <w:szCs w:val="23"/>
          <w:lang w:eastAsia="fr-BE"/>
          <w14:ligatures w14:val="none"/>
        </w:rPr>
        <w:t>La tendance va se poursuivre en 2024, les disponibilités étant attendues à la hausse avec l’accroissement du recyclage et le recul des ventes de véhicules thermiques. Cependant, nous espérons un rebond des cours au second semestre </w:t>
      </w:r>
      <w:r w:rsidRPr="004C3D1D">
        <w:rPr>
          <w:rFonts w:ascii="Lato" w:eastAsia="Times New Roman" w:hAnsi="Lato" w:cs="Times New Roman"/>
          <w:color w:val="000000"/>
          <w:kern w:val="0"/>
          <w:sz w:val="23"/>
          <w:szCs w:val="23"/>
          <w:lang w:eastAsia="fr-BE"/>
          <w14:ligatures w14:val="none"/>
        </w:rPr>
        <w:t xml:space="preserve">», indique </w:t>
      </w:r>
      <w:proofErr w:type="spellStart"/>
      <w:r w:rsidRPr="004C3D1D">
        <w:rPr>
          <w:rFonts w:ascii="Lato" w:eastAsia="Times New Roman" w:hAnsi="Lato" w:cs="Times New Roman"/>
          <w:color w:val="000000"/>
          <w:kern w:val="0"/>
          <w:sz w:val="23"/>
          <w:szCs w:val="23"/>
          <w:lang w:eastAsia="fr-BE"/>
          <w14:ligatures w14:val="none"/>
        </w:rPr>
        <w:t>Debajit</w:t>
      </w:r>
      <w:proofErr w:type="spellEnd"/>
      <w:r w:rsidRPr="004C3D1D">
        <w:rPr>
          <w:rFonts w:ascii="Lato" w:eastAsia="Times New Roman" w:hAnsi="Lato" w:cs="Times New Roman"/>
          <w:color w:val="000000"/>
          <w:kern w:val="0"/>
          <w:sz w:val="23"/>
          <w:szCs w:val="23"/>
          <w:lang w:eastAsia="fr-BE"/>
          <w14:ligatures w14:val="none"/>
        </w:rPr>
        <w:t xml:space="preserve"> Saha, analyste pour LSEG.</w:t>
      </w:r>
    </w:p>
    <w:p w14:paraId="42F16FC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1D"/>
    <w:rsid w:val="00287462"/>
    <w:rsid w:val="004C3D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B6D9"/>
  <w15:chartTrackingRefBased/>
  <w15:docId w15:val="{691CB753-E481-44DC-98BC-DCBAB7E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6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4041</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2024-02-19T09:42:00Z</dcterms:created>
  <dcterms:modified xsi:type="dcterms:W3CDTF">2024-02-19T09:43:00Z</dcterms:modified>
</cp:coreProperties>
</file>